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rPr>
          <w:rFonts w:ascii="仿宋_GB2312" w:hAnsi="仿宋" w:eastAsia="仿宋_GB2312"/>
          <w:sz w:val="32"/>
          <w:szCs w:val="32"/>
        </w:rPr>
      </w:pPr>
      <w:r>
        <w:rPr>
          <w:rFonts w:hint="eastAsia" w:ascii="仿宋_GB2312" w:hAnsi="仿宋" w:eastAsia="仿宋_GB2312"/>
          <w:sz w:val="32"/>
          <w:szCs w:val="32"/>
        </w:rPr>
        <w:t>附件3：</w:t>
      </w:r>
    </w:p>
    <w:p>
      <w:pPr>
        <w:pStyle w:val="2"/>
      </w:pPr>
    </w:p>
    <w:p>
      <w:pPr>
        <w:autoSpaceDN w:val="0"/>
        <w:spacing w:line="56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“四上”企业标准</w:t>
      </w:r>
    </w:p>
    <w:p>
      <w:pPr>
        <w:pStyle w:val="2"/>
      </w:pPr>
    </w:p>
    <w:p>
      <w:pPr>
        <w:autoSpaceDN w:val="0"/>
        <w:spacing w:line="560" w:lineRule="exact"/>
        <w:ind w:firstLine="640" w:firstLineChars="200"/>
        <w:rPr>
          <w:rFonts w:ascii="仿宋_GB2312" w:hAnsi="仿宋" w:eastAsia="仿宋_GB2312"/>
          <w:sz w:val="32"/>
          <w:szCs w:val="32"/>
        </w:rPr>
      </w:pPr>
      <w:r>
        <w:rPr>
          <w:rFonts w:hint="eastAsia" w:ascii="黑体" w:hAnsi="黑体" w:eastAsia="黑体"/>
          <w:bCs/>
          <w:sz w:val="32"/>
          <w:szCs w:val="32"/>
        </w:rPr>
        <w:t>1、规模以上工业：</w:t>
      </w:r>
      <w:r>
        <w:rPr>
          <w:rFonts w:hint="eastAsia" w:ascii="仿宋_GB2312" w:hAnsi="仿宋" w:eastAsia="仿宋_GB2312"/>
          <w:sz w:val="32"/>
          <w:szCs w:val="32"/>
        </w:rPr>
        <w:t>年主营业务收入2000万元及以上的工业法人单位。</w:t>
      </w:r>
    </w:p>
    <w:p>
      <w:pPr>
        <w:autoSpaceDN w:val="0"/>
        <w:spacing w:line="560" w:lineRule="exact"/>
        <w:ind w:firstLine="640" w:firstLineChars="200"/>
        <w:rPr>
          <w:rFonts w:ascii="仿宋_GB2312" w:hAnsi="仿宋" w:eastAsia="仿宋_GB2312"/>
          <w:sz w:val="32"/>
          <w:szCs w:val="32"/>
        </w:rPr>
      </w:pPr>
      <w:r>
        <w:rPr>
          <w:rFonts w:hint="eastAsia" w:ascii="黑体" w:hAnsi="黑体" w:eastAsia="黑体"/>
          <w:bCs/>
          <w:sz w:val="32"/>
          <w:szCs w:val="32"/>
        </w:rPr>
        <w:t>2、有资质的建筑业：</w:t>
      </w:r>
      <w:r>
        <w:rPr>
          <w:rFonts w:hint="eastAsia" w:ascii="仿宋_GB2312" w:hAnsi="仿宋" w:eastAsia="仿宋_GB2312"/>
          <w:sz w:val="32"/>
          <w:szCs w:val="32"/>
        </w:rPr>
        <w:t>辖区内有总承包或专业承包资质的建筑业法人单位。</w:t>
      </w:r>
    </w:p>
    <w:p>
      <w:pPr>
        <w:autoSpaceDN w:val="0"/>
        <w:spacing w:line="560" w:lineRule="exact"/>
        <w:ind w:firstLine="640" w:firstLineChars="200"/>
        <w:rPr>
          <w:rFonts w:ascii="仿宋_GB2312" w:hAnsi="仿宋" w:eastAsia="仿宋_GB2312"/>
          <w:sz w:val="32"/>
          <w:szCs w:val="32"/>
        </w:rPr>
      </w:pPr>
      <w:r>
        <w:rPr>
          <w:rFonts w:hint="eastAsia" w:ascii="黑体" w:hAnsi="黑体" w:eastAsia="黑体"/>
          <w:bCs/>
          <w:sz w:val="32"/>
          <w:szCs w:val="32"/>
        </w:rPr>
        <w:t>3、限额以上批发和零售业：</w:t>
      </w:r>
      <w:r>
        <w:rPr>
          <w:rFonts w:hint="eastAsia" w:ascii="仿宋_GB2312" w:hAnsi="仿宋" w:eastAsia="仿宋_GB2312"/>
          <w:sz w:val="32"/>
          <w:szCs w:val="32"/>
        </w:rPr>
        <w:t>年主营业务收入2000万元及以上的批发业法人单位；年主营业务收入500万元及以上的零售业法人单位。</w:t>
      </w:r>
    </w:p>
    <w:p>
      <w:pPr>
        <w:autoSpaceDN w:val="0"/>
        <w:spacing w:line="560" w:lineRule="exact"/>
        <w:ind w:firstLine="640" w:firstLineChars="200"/>
        <w:rPr>
          <w:rFonts w:ascii="仿宋_GB2312" w:hAnsi="仿宋" w:eastAsia="仿宋_GB2312"/>
          <w:sz w:val="32"/>
          <w:szCs w:val="32"/>
        </w:rPr>
      </w:pPr>
      <w:r>
        <w:rPr>
          <w:rFonts w:hint="eastAsia" w:ascii="黑体" w:hAnsi="黑体" w:eastAsia="黑体"/>
          <w:bCs/>
          <w:sz w:val="32"/>
          <w:szCs w:val="32"/>
        </w:rPr>
        <w:t>4、限额以上住宿和餐饮业：</w:t>
      </w:r>
      <w:r>
        <w:rPr>
          <w:rFonts w:hint="eastAsia" w:ascii="仿宋_GB2312" w:hAnsi="仿宋" w:eastAsia="仿宋_GB2312"/>
          <w:sz w:val="32"/>
          <w:szCs w:val="32"/>
        </w:rPr>
        <w:t>年主营业务收入200万元及以上的住宿和餐饮业法人单位。</w:t>
      </w:r>
    </w:p>
    <w:p>
      <w:pPr>
        <w:autoSpaceDN w:val="0"/>
        <w:spacing w:line="560" w:lineRule="exact"/>
        <w:ind w:firstLine="640" w:firstLineChars="200"/>
        <w:rPr>
          <w:rFonts w:ascii="仿宋_GB2312" w:hAnsi="仿宋" w:eastAsia="仿宋_GB2312"/>
          <w:sz w:val="32"/>
          <w:szCs w:val="32"/>
        </w:rPr>
      </w:pPr>
      <w:r>
        <w:rPr>
          <w:rFonts w:hint="eastAsia" w:ascii="黑体" w:hAnsi="黑体" w:eastAsia="黑体"/>
          <w:bCs/>
          <w:sz w:val="32"/>
          <w:szCs w:val="32"/>
        </w:rPr>
        <w:t>5、房地产开发经营业：</w:t>
      </w:r>
      <w:r>
        <w:rPr>
          <w:rFonts w:hint="eastAsia" w:ascii="仿宋_GB2312" w:hAnsi="仿宋" w:eastAsia="仿宋_GB2312"/>
          <w:sz w:val="32"/>
          <w:szCs w:val="32"/>
        </w:rPr>
        <w:t>有开发经营活动的全部房地产开发经营业法人单位。</w:t>
      </w:r>
    </w:p>
    <w:p>
      <w:pPr>
        <w:autoSpaceDN w:val="0"/>
        <w:spacing w:line="560" w:lineRule="exact"/>
        <w:ind w:firstLine="640" w:firstLineChars="200"/>
        <w:rPr>
          <w:rFonts w:ascii="仿宋_GB2312" w:hAnsi="仿宋" w:eastAsia="仿宋_GB2312"/>
          <w:sz w:val="32"/>
          <w:szCs w:val="32"/>
        </w:rPr>
      </w:pPr>
      <w:r>
        <w:rPr>
          <w:rFonts w:hint="eastAsia" w:ascii="黑体" w:hAnsi="黑体" w:eastAsia="黑体"/>
          <w:bCs/>
          <w:sz w:val="32"/>
          <w:szCs w:val="32"/>
        </w:rPr>
        <w:t>6、规模以上服务业：</w:t>
      </w:r>
      <w:r>
        <w:rPr>
          <w:rFonts w:hint="eastAsia" w:ascii="仿宋_GB2312" w:hAnsi="仿宋" w:eastAsia="仿宋_GB2312"/>
          <w:sz w:val="32"/>
          <w:szCs w:val="32"/>
        </w:rPr>
        <w:t>辖区内年营业收入2000万元及以上服务业法人单位。包括：交通运输、仓储和邮政业，信息传输、软件和信息技术服务业，水利、环境和公共设施管理业三个门类和卫生行业大类。</w:t>
      </w:r>
    </w:p>
    <w:p>
      <w:pPr>
        <w:autoSpaceDN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辖区内年营业收入1000万元及以上服务业法人单位。包括：租赁和商务服务业，科学研究和技术服务业，教育三个门类，以及物业管理、房地产中介服务、房地产租赁经营和其他房地产业四个行业小类。</w:t>
      </w:r>
    </w:p>
    <w:p>
      <w:pPr>
        <w:autoSpaceDN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辖区内年营业收入500万元及以上服务业法人单位。包括：居民服务、修理和其他服务业，文化、体育和娱乐业两个门类，以及社会工作行业大类。</w:t>
      </w:r>
    </w:p>
    <w:p>
      <w:pPr>
        <w:autoSpaceDN w:val="0"/>
        <w:spacing w:line="560" w:lineRule="exact"/>
        <w:ind w:firstLine="643" w:firstLineChars="200"/>
        <w:rPr>
          <w:rFonts w:hint="eastAsia" w:ascii="仿宋_GB2312" w:hAnsi="仿宋" w:eastAsia="仿宋_GB2312"/>
          <w:b/>
          <w:bCs/>
          <w:sz w:val="32"/>
          <w:szCs w:val="32"/>
        </w:rPr>
      </w:pPr>
      <w:r>
        <w:rPr>
          <w:rFonts w:ascii="仿宋_GB2312" w:hAnsi="仿宋" w:eastAsia="仿宋_GB2312"/>
          <w:b/>
          <w:bCs/>
          <w:sz w:val="32"/>
          <w:szCs w:val="32"/>
        </w:rPr>
        <w:t>备注：有资质的建筑业法人单位和房地产开发经营业法人单位按月度入库流程另行审批。</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0" w:name="_GoBack"/>
    <w:bookmarkEnd w:id="0"/>
    <w:r>
      <w:rPr>
        <w:sz w:val="18"/>
      </w:rPr>
      <w:drawing>
        <wp:inline distT="0" distB="0" distL="114300" distR="114300">
          <wp:extent cx="640715" cy="628015"/>
          <wp:effectExtent l="0" t="0" r="14605" b="12065"/>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640715" cy="628015"/>
                  </a:xfrm>
                  <a:prstGeom prst="rect">
                    <a:avLst/>
                  </a:prstGeom>
                </pic:spPr>
              </pic:pic>
            </a:graphicData>
          </a:graphic>
        </wp:inline>
      </w:drawing>
    </w:r>
    <w:r>
      <w:rPr>
        <w:sz w:val="18"/>
      </w:rPr>
      <w:pict>
        <v:shape id="PowerPlusWaterMarkObject31834" o:spid="_x0000_s2049" o:spt="136" type="#_x0000_t136" style="position:absolute;left:0pt;height:59.3pt;width:527.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中企政策网 13480774558"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C1401"/>
    <w:rsid w:val="000E6114"/>
    <w:rsid w:val="00DE22E7"/>
    <w:rsid w:val="3CD209D9"/>
    <w:rsid w:val="4F8C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438</Characters>
  <Lines>3</Lines>
  <Paragraphs>1</Paragraphs>
  <TotalTime>12</TotalTime>
  <ScaleCrop>false</ScaleCrop>
  <LinksUpToDate>false</LinksUpToDate>
  <CharactersWithSpaces>513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2020-09-23T09:44:00Z</dcterms:created>
  <dc:creator>邱彩霞</dc:creator>
  <cp:lastModifiedBy>A001陈飞知识产权+高新+审计+资助</cp:lastModifiedBy>
  <dcterms:modified xsi:type="dcterms:W3CDTF">2020-10-15T23:40:22Z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