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方正小标宋简体"/>
          <w:b/>
          <w:color w:val="auto"/>
          <w:sz w:val="44"/>
          <w:szCs w:val="44"/>
          <w:highlight w:val="none"/>
        </w:rPr>
        <w:t>深圳市福田区支持</w:t>
      </w:r>
      <w:r>
        <w:rPr>
          <w:rFonts w:hint="eastAsia" w:ascii="宋体" w:hAnsi="宋体" w:cs="方正小标宋简体"/>
          <w:b/>
          <w:color w:val="auto"/>
          <w:sz w:val="44"/>
          <w:szCs w:val="44"/>
          <w:highlight w:val="none"/>
          <w:lang w:eastAsia="zh-CN"/>
        </w:rPr>
        <w:t>商业</w:t>
      </w:r>
      <w:r>
        <w:rPr>
          <w:rFonts w:hint="eastAsia" w:ascii="宋体" w:hAnsi="宋体" w:cs="方正小标宋简体"/>
          <w:b/>
          <w:color w:val="auto"/>
          <w:sz w:val="44"/>
          <w:szCs w:val="44"/>
          <w:highlight w:val="none"/>
        </w:rPr>
        <w:t>发展项目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jc w:val="center"/>
        <w:rPr>
          <w:rFonts w:ascii="宋体" w:hAnsi="宋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方正小标宋简体"/>
          <w:b/>
          <w:color w:val="auto"/>
          <w:sz w:val="44"/>
          <w:szCs w:val="44"/>
          <w:highlight w:val="none"/>
          <w:lang w:eastAsia="zh-CN"/>
        </w:rPr>
        <w:t>备案</w:t>
      </w:r>
      <w:r>
        <w:rPr>
          <w:rFonts w:hint="eastAsia" w:ascii="宋体" w:hAnsi="宋体" w:cs="方正小标宋简体"/>
          <w:b/>
          <w:color w:val="auto"/>
          <w:sz w:val="44"/>
          <w:szCs w:val="44"/>
          <w:highlight w:val="none"/>
        </w:rPr>
        <w:t>指南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一、备案说明</w:t>
      </w:r>
    </w:p>
    <w:p>
      <w:pPr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（一）适用范围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适用于《深圳市福田区支持商业发展若干政策》中须履行备案手续的“品牌引进支持”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5G消费支持”、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“‘福田购物节’活动支持”、“夜间经济发展支持”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项目。</w:t>
      </w:r>
    </w:p>
    <w:p>
      <w:pPr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）备案效力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需备案的项目，经审核同意后可纳入产业资金支持范围。备案项目需在备案有效期内完成，未完成项目的备案文件自动失效。</w:t>
      </w:r>
    </w:p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 xml:space="preserve">    二、备案流程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（一）申报单位按照备案材料清单准备材料到区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局进行备案，并附联系人、联系方式等报区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局受理科室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（二）由受理科室初审。初审可以采取约谈、上门调研、查验材料真实及向第三方咨询等方式进行。如发现申请方提供材料不规范或不足以证明有关事实，可要求申请方补充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（三）受理科室对申请材料的合法性、完整性、有效性进行审核，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提出初审意见后报局长办公会审定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（四）同意备案的项目由区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局出具正式的备案意见；不同意备案的项目，由受理科室通知企业，并说明不予备案的理由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（五）备案文件有效期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以备案文件为准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，有效期内未申请相关项目的，备案文件自动失效。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三、具体要求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  <w:t>（一）品牌引进支持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rPr>
          <w:rStyle w:val="8"/>
          <w:rFonts w:ascii="仿宋_GB2312" w:hAnsi="仿宋_GB2312" w:eastAsia="仿宋_GB2312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color w:val="auto"/>
          <w:sz w:val="32"/>
          <w:szCs w:val="32"/>
          <w:highlight w:val="none"/>
          <w:lang w:val="en-US"/>
        </w:rPr>
        <w:t>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对于引进的品牌分别给予以下支持：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（一）经备案，对福田区购物中心、专业市场等引进国际、国内知名、高端消费品牌及创新商业业态的品牌门店进行的软、硬件升级改造项目，项目完工并经专项审计，按项目实际投资额的30%，根据门店经营面积分档次给予最高300万元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（二）经备案，对购物中心、专业市场或商业楼宇等引进米其林三星、二星、一星餐厅，级别从高到低分别给予其50万元/家、30万元/家、10万元/家的支持，累计最高支持300万元；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（三）经备案，对于新业态、新零售品牌在福田区开设连锁门店且纳入福田区商业统计，按照经营面积每个单店可给与最高30万元的一次性支持，每家企业年度最高可支持100万元；（该条政策与“品牌引进支持”中第一点不可同时享受；与《深圳市福田区防控疫情同舟共济“福企”新十条政策》中“经营拓展支持”不可同时享受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备案条件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原则上适用于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1月1日以后发生项目。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备案材料</w:t>
      </w:r>
    </w:p>
    <w:tbl>
      <w:tblPr>
        <w:tblStyle w:val="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85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序号</w:t>
            </w:r>
          </w:p>
        </w:tc>
        <w:tc>
          <w:tcPr>
            <w:tcW w:w="58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1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备案申请报告（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企业概况、经济指标、纳税情况、曾获荣誉和扶持、发展前景；项目背景、品牌介绍、规模及内容、特点及优势等内容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；门店运营模式、盈利模式、技术架构、创新程度、知识产权、项目团队、用户评价等主要内容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2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申请单位证照（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</w:t>
            </w: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三证合一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”营业执照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3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税务部门开具的企业上年度纳税证明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（非独立法人企业可不提供）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4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入驻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门店证照（含营业执照、租赁合同/租赁凭证）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5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入驻门店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与品牌公司签订的商标使用合同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证明文件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（开设创新商业业态门店企业除外）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6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福田区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工业和信息化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要求提供的其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材料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  <w:t>5G消费支持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rPr>
          <w:rStyle w:val="8"/>
          <w:rFonts w:ascii="仿宋_GB2312" w:hAnsi="仿宋_GB2312" w:eastAsia="仿宋_GB2312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color w:val="auto"/>
          <w:sz w:val="32"/>
          <w:szCs w:val="32"/>
          <w:highlight w:val="none"/>
          <w:lang w:val="en-US"/>
        </w:rPr>
        <w:t>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经备案，对福田区内新开设的5G消费业态品牌门店，经营面积达500平方米及以上的，按门店经营面积，每个单店给予最高300万元的一次性支持，每家企业年度最高可支持500万元。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备案条件：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原则上适用于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1月1日以后发生项目。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备案材料</w:t>
      </w:r>
    </w:p>
    <w:tbl>
      <w:tblPr>
        <w:tblStyle w:val="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85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序号</w:t>
            </w:r>
          </w:p>
        </w:tc>
        <w:tc>
          <w:tcPr>
            <w:tcW w:w="58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1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备案申请报告（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企业概况、经济指标、纳税情况、曾获荣誉和扶持、发展前景；项目背景、品牌介绍、规模及内容、特点及优势等内容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；门店运营模式、盈利模式、技术架构、创新程度、知识产权、项目团队、用户评价等主要内容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2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申请单位证照（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</w:t>
            </w: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三证合一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”营业执照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3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税务部门开具的企业上年度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或门店开业以来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纳税证明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4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与品牌公司签订的商标使用合同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证明文件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5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门店证照（含营业执照、房产证/租赁合同/租赁凭证）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6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福田区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工业和信息化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要求提供的其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材料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  <w:t>“福田购物节”活动支持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rPr>
          <w:rStyle w:val="8"/>
          <w:rFonts w:ascii="仿宋_GB2312" w:hAnsi="仿宋_GB2312" w:eastAsia="仿宋_GB2312"/>
          <w:b/>
          <w:bCs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b/>
          <w:bCs/>
          <w:color w:val="auto"/>
          <w:sz w:val="32"/>
          <w:szCs w:val="32"/>
          <w:highlight w:val="none"/>
        </w:rPr>
        <w:t>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经备案，对利用“福田购物节”促消费活动平台，以店庆、周年庆、节日促销等形式开展促销的购物中心、社会组织，活动完成并经专项审计后，按实际发生活动费用的30%，单次活动给予最高100万元的支持，年度最高支持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备案条件：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原则上适用于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1月1日以后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开展的活动。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备案材料</w:t>
      </w:r>
    </w:p>
    <w:tbl>
      <w:tblPr>
        <w:tblStyle w:val="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85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序号</w:t>
            </w:r>
          </w:p>
        </w:tc>
        <w:tc>
          <w:tcPr>
            <w:tcW w:w="58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1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备案申请报告（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如申请单位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业概况、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促消费活动方案、活动预算、活动效益等主要内容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2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申请单位证照（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</w:t>
            </w: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三证合一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”营业执照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/社会团体法人登记证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3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税务部门开具的企业上年度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或门店开业以来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纳税证明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（非独立法人企业可不提供）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  <w:lang w:val="en-US" w:eastAsia="zh-CN"/>
              </w:rPr>
              <w:t>4</w:t>
            </w:r>
          </w:p>
        </w:tc>
        <w:tc>
          <w:tcPr>
            <w:tcW w:w="5859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福田区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工业和信息化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要求提供的其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材料</w:t>
            </w:r>
          </w:p>
        </w:tc>
        <w:tc>
          <w:tcPr>
            <w:tcW w:w="265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_GB2312" w:hAnsi="黑体" w:eastAsia="楷体_GB2312"/>
          <w:color w:val="auto"/>
          <w:sz w:val="32"/>
          <w:szCs w:val="32"/>
          <w:highlight w:val="none"/>
        </w:rPr>
        <w:t>（四）</w:t>
      </w:r>
      <w:r>
        <w:rPr>
          <w:rStyle w:val="8"/>
          <w:rFonts w:ascii="楷体_GB2312" w:hAnsi="黑体" w:eastAsia="楷体_GB2312"/>
          <w:color w:val="auto"/>
          <w:sz w:val="32"/>
          <w:szCs w:val="32"/>
          <w:highlight w:val="none"/>
        </w:rPr>
        <w:t>夜间经济发展支持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rPr>
          <w:rStyle w:val="8"/>
          <w:rFonts w:ascii="仿宋_GB2312" w:hAnsi="仿宋_GB2312" w:eastAsia="仿宋_GB2312"/>
          <w:b/>
          <w:bCs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b/>
          <w:bCs/>
          <w:color w:val="auto"/>
          <w:sz w:val="32"/>
          <w:szCs w:val="32"/>
          <w:highlight w:val="none"/>
        </w:rPr>
        <w:t>项目内容：</w:t>
      </w:r>
    </w:p>
    <w:p>
      <w:pPr>
        <w:pageBreakBefore w:val="0"/>
        <w:kinsoku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rPr>
          <w:rStyle w:val="8"/>
          <w:rFonts w:ascii="仿宋_GB2312" w:hAnsi="仿宋_GB2312" w:eastAsia="仿宋_GB2312"/>
          <w:color w:val="auto"/>
          <w:sz w:val="32"/>
          <w:szCs w:val="32"/>
          <w:highlight w:val="none"/>
        </w:rPr>
      </w:pP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highlight w:val="none"/>
        </w:rPr>
        <w:t>为提升夜间消费活力，经备案，对福田区购物中心、特色街区或对福田区综合贡献较大的企业，于2019年1月1日后实施的软、硬件升级改造项目，项目投资额达100万元以上的，项目完工并经专项审计后，按项目实际投资额的30%，给予最高200万元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备案条件：</w:t>
      </w:r>
    </w:p>
    <w:p>
      <w:pPr>
        <w:pStyle w:val="5"/>
        <w:widowControl w:val="0"/>
        <w:autoSpaceDE w:val="0"/>
        <w:autoSpaceDN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原则上适用于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2019年1月1日以后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实施的项目。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备案材料</w:t>
      </w: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50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序号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材料名称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16"/>
                <w:highlight w:val="none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1</w:t>
            </w:r>
          </w:p>
        </w:tc>
        <w:tc>
          <w:tcPr>
            <w:tcW w:w="5505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备案申请报告（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如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企业概况、经济指标、纳税情况、曾获荣誉和扶持、发展前景等主要内容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；须注明申请单位与购物中心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/特色街区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的关系；申请项目基本情况：如项目背景、项目完成情况、项目投入情况、改造前后的对比资料等内容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>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2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申请单位证照（“三证合一”营业执照）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3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税务部门开具的企业上年度纳税证明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（非独立法人企业可不提供）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 xml:space="preserve">      打印（盖章）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4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房产证/租赁合同/租赁凭证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>验原件交复印件（盖章）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16"/>
                <w:highlight w:val="none"/>
              </w:rPr>
              <w:t>5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福田区工业和信息化局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要求提供的其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他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材料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样稿1</w:t>
      </w:r>
    </w:p>
    <w:p>
      <w:pPr>
        <w:jc w:val="center"/>
        <w:rPr>
          <w:b/>
          <w:color w:val="auto"/>
          <w:sz w:val="44"/>
          <w:szCs w:val="44"/>
          <w:highlight w:val="none"/>
        </w:rPr>
      </w:pPr>
    </w:p>
    <w:p>
      <w:pPr>
        <w:jc w:val="center"/>
        <w:rPr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品牌引进支持</w:t>
      </w:r>
      <w:r>
        <w:rPr>
          <w:b/>
          <w:color w:val="auto"/>
          <w:sz w:val="44"/>
          <w:szCs w:val="44"/>
          <w:highlight w:val="none"/>
        </w:rPr>
        <w:t>备案申请报告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</w:p>
    <w:p>
      <w:pPr>
        <w:ind w:firstLine="643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一、企业基本概况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：企业概况、经济指标、纳税情况、曾获荣誉和扶持、发展前景等内容）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二、申请项目基本情况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：项目背景、品牌介绍、规模及内容、特点及优势等内容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门店运营模式、盈利模式、技术架构、创新程度、知识产权、项目团队、用户评价等主要内容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</w:p>
    <w:p>
      <w:pPr>
        <w:spacing w:line="540" w:lineRule="exact"/>
        <w:ind w:firstLine="643" w:firstLineChars="200"/>
        <w:rPr>
          <w:rFonts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kern w:val="0"/>
          <w:sz w:val="32"/>
          <w:szCs w:val="32"/>
          <w:highlight w:val="none"/>
        </w:rPr>
        <w:t>三、项目预期成效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在经济、社会、环境等方面取得的预期效益。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注：申请单位应在其提交的申请资料中提供报告涉及的佐证材料。</w:t>
      </w: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样稿2</w:t>
      </w: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5G消费支持</w:t>
      </w:r>
      <w:r>
        <w:rPr>
          <w:b/>
          <w:color w:val="auto"/>
          <w:sz w:val="44"/>
          <w:szCs w:val="44"/>
          <w:highlight w:val="none"/>
        </w:rPr>
        <w:t>备案申请</w:t>
      </w:r>
      <w:r>
        <w:rPr>
          <w:rFonts w:hint="eastAsia"/>
          <w:b/>
          <w:color w:val="auto"/>
          <w:sz w:val="44"/>
          <w:szCs w:val="44"/>
          <w:highlight w:val="none"/>
        </w:rPr>
        <w:t>报告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</w:p>
    <w:p>
      <w:pPr>
        <w:ind w:firstLine="643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一、企业基本概况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：企业概况、经济指标、纳税情况、曾获荣誉和扶持、发展前景等内容）</w:t>
      </w:r>
    </w:p>
    <w:p>
      <w:pPr>
        <w:ind w:firstLine="643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二、申请项目基本情况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：项目背景、品牌介绍、规模及内容、特点及优势等内容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门店运营模式、盈利模式、技术架构、创新程度、知识产权、项目团队、用户评价等主要内容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</w:p>
    <w:p>
      <w:pPr>
        <w:spacing w:line="540" w:lineRule="exact"/>
        <w:ind w:firstLine="643" w:firstLineChars="200"/>
        <w:rPr>
          <w:rFonts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kern w:val="0"/>
          <w:sz w:val="32"/>
          <w:szCs w:val="32"/>
          <w:highlight w:val="none"/>
        </w:rPr>
        <w:t>三、项目预期成效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在经济、社会、环境等方面取得的预期效益。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注：申请单位应在其提交的申请资料中提供报告涉及的佐证材料。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样稿</w:t>
      </w:r>
      <w:r>
        <w:rPr>
          <w:rFonts w:hint="eastAsia"/>
          <w:b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“福田购物节”活动支持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b/>
          <w:color w:val="auto"/>
          <w:sz w:val="44"/>
          <w:szCs w:val="44"/>
          <w:highlight w:val="none"/>
        </w:rPr>
        <w:t>备案申请</w:t>
      </w:r>
      <w:r>
        <w:rPr>
          <w:rFonts w:hint="eastAsia"/>
          <w:b/>
          <w:color w:val="auto"/>
          <w:sz w:val="44"/>
          <w:szCs w:val="44"/>
          <w:highlight w:val="none"/>
        </w:rPr>
        <w:t>报告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</w:p>
    <w:p>
      <w:pPr>
        <w:ind w:firstLine="643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一、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eastAsia="zh-CN"/>
        </w:rPr>
        <w:t>申请单位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基本概况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申请单位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概况、经济指标、纳税情况、曾获荣誉和扶持、发展前景等内容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须注明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申请单位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与购物中心的关系）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二、申请项目基本情况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（“福田购物节”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活动方案、活动预算等主要内容）</w:t>
      </w:r>
    </w:p>
    <w:p>
      <w:pPr>
        <w:spacing w:line="540" w:lineRule="exact"/>
        <w:ind w:firstLine="643" w:firstLineChars="200"/>
        <w:rPr>
          <w:rFonts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kern w:val="0"/>
          <w:sz w:val="32"/>
          <w:szCs w:val="32"/>
          <w:highlight w:val="none"/>
        </w:rPr>
        <w:t>三、项目预期成效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在经济、社会、环境等方面取得的预期效益。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注：申请单位应在其提交的申请资料中提供报告涉及的佐证材料。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样稿</w:t>
      </w:r>
      <w:r>
        <w:rPr>
          <w:rFonts w:hint="eastAsia"/>
          <w:b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lef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夜间经济发展支持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b/>
          <w:color w:val="auto"/>
          <w:sz w:val="44"/>
          <w:szCs w:val="44"/>
          <w:highlight w:val="none"/>
        </w:rPr>
        <w:t>备案申请</w:t>
      </w:r>
      <w:r>
        <w:rPr>
          <w:rFonts w:hint="eastAsia"/>
          <w:b/>
          <w:color w:val="auto"/>
          <w:sz w:val="44"/>
          <w:szCs w:val="44"/>
          <w:highlight w:val="none"/>
        </w:rPr>
        <w:t>报告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</w:p>
    <w:p>
      <w:pPr>
        <w:ind w:firstLine="643" w:firstLineChars="200"/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一、企业基本概况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：企业概况、经济指标、纳税情况、曾获荣誉和扶持、发展前景等内容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须注明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申请单位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与购物中心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  <w:lang w:eastAsia="zh-CN"/>
        </w:rPr>
        <w:t>特色街区</w:t>
      </w:r>
      <w:r>
        <w:rPr>
          <w:rFonts w:hint="eastAsia" w:ascii="仿宋_GB2312" w:eastAsia="仿宋_GB2312"/>
          <w:bCs/>
          <w:color w:val="auto"/>
          <w:sz w:val="32"/>
          <w:szCs w:val="32"/>
          <w:highlight w:val="none"/>
        </w:rPr>
        <w:t>的关系）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二、申请项目基本情况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（项目背景、项目完成情况、项目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投入情况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、入驻品牌门店介绍等内容）</w:t>
      </w:r>
    </w:p>
    <w:p>
      <w:pPr>
        <w:spacing w:line="540" w:lineRule="exact"/>
        <w:ind w:firstLine="643" w:firstLineChars="200"/>
        <w:rPr>
          <w:rFonts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kern w:val="0"/>
          <w:sz w:val="32"/>
          <w:szCs w:val="32"/>
          <w:highlight w:val="none"/>
        </w:rPr>
        <w:t>三、项目预期成效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在经济、社会、环境等方面取得的预期效益。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注：申请单位应在其提交的申请资料中提供报告涉及的佐证材料。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wordWrap w:val="0"/>
      <w:jc w:val="both"/>
      <w:rPr>
        <w:rFonts w:hint="default"/>
        <w:color w:val="FF0000"/>
        <w:sz w:val="28"/>
        <w:szCs w:val="28"/>
        <w:lang w:val="en-US" w:eastAsia="zh-CN"/>
      </w:rPr>
    </w:pPr>
    <w:r>
      <w:rPr>
        <w:rFonts w:hint="eastAsia"/>
        <w:color w:val="FF0000"/>
        <w:sz w:val="28"/>
        <w:szCs w:val="28"/>
        <w:lang w:val="en-US" w:eastAsia="zh-CN"/>
      </w:rPr>
      <w:t>国家高新技术企业认定辅导  政府资助政策解读 陈飞 13480774558</w:t>
    </w:r>
  </w:p>
  <w:p>
    <w:pPr>
      <w:pStyle w:val="4"/>
      <w:pBdr>
        <w:bottom w:val="none" w:color="auto" w:sz="0" w:space="1"/>
      </w:pBdr>
      <w:jc w:val="center"/>
    </w:pPr>
    <w:r>
      <w:rPr>
        <w:rFonts w:hint="eastAsia"/>
        <w:color w:val="FF0000"/>
        <w:sz w:val="28"/>
        <w:szCs w:val="28"/>
        <w:lang w:val="en-US" w:eastAsia="zh-CN"/>
      </w:rPr>
      <w:t xml:space="preserve"> </w:t>
    </w:r>
    <w:r>
      <w:rPr>
        <w:rFonts w:hint="default" w:eastAsia="宋体"/>
        <w:color w:val="FF0000"/>
        <w:sz w:val="28"/>
        <w:szCs w:val="28"/>
        <w:lang w:val="en-US" w:eastAsia="zh-CN"/>
      </w:rPr>
      <w:drawing>
        <wp:inline distT="0" distB="0" distL="114300" distR="114300">
          <wp:extent cx="900430" cy="882650"/>
          <wp:effectExtent l="0" t="0" r="13970" b="1270"/>
          <wp:docPr id="1" name="图片 1" descr="微信公众号(x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公众号(x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3603"/>
    <w:rsid w:val="04D533BD"/>
    <w:rsid w:val="04EA2230"/>
    <w:rsid w:val="0564339D"/>
    <w:rsid w:val="11B46C55"/>
    <w:rsid w:val="12CB2B30"/>
    <w:rsid w:val="137836A7"/>
    <w:rsid w:val="162549C5"/>
    <w:rsid w:val="20993F60"/>
    <w:rsid w:val="224A0521"/>
    <w:rsid w:val="239264AB"/>
    <w:rsid w:val="23CB7925"/>
    <w:rsid w:val="26C95004"/>
    <w:rsid w:val="33BD3BCA"/>
    <w:rsid w:val="356113A0"/>
    <w:rsid w:val="3A985C6C"/>
    <w:rsid w:val="42925800"/>
    <w:rsid w:val="474D28D7"/>
    <w:rsid w:val="48072EBD"/>
    <w:rsid w:val="48925F1D"/>
    <w:rsid w:val="51A2618F"/>
    <w:rsid w:val="6AED202A"/>
    <w:rsid w:val="6DA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lyf</dc:creator>
  <cp:lastModifiedBy>A001陈飞知识产权+高新+审计+资助</cp:lastModifiedBy>
  <dcterms:modified xsi:type="dcterms:W3CDTF">2020-07-14T10:23:30Z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